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2F2" w:rsidRPr="001F06EB" w:rsidRDefault="000132F2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31656" wp14:editId="7A373DD4">
                <wp:simplePos x="0" y="0"/>
                <wp:positionH relativeFrom="leftMargin">
                  <wp:posOffset>614149</wp:posOffset>
                </wp:positionH>
                <wp:positionV relativeFrom="topMargin">
                  <wp:posOffset>1112293</wp:posOffset>
                </wp:positionV>
                <wp:extent cx="6629400" cy="716507"/>
                <wp:effectExtent l="0" t="0" r="0" b="762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716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0132F2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0132F2" w:rsidRPr="00877914" w:rsidRDefault="00AD0A5D" w:rsidP="00AD0A5D">
                                  <w:pPr>
                                    <w:pStyle w:val="Heading1"/>
                                    <w:jc w:val="center"/>
                                    <w:rPr>
                                      <w:rFonts w:ascii="Arial" w:hAnsi="Arial"/>
                                      <w:sz w:val="36"/>
                                      <w:szCs w:val="36"/>
                                    </w:rPr>
                                  </w:pPr>
                                  <w:r w:rsidRPr="009A057D">
                                    <w:rPr>
                                      <w:lang w:val="en-US"/>
                                    </w:rPr>
                                    <w:t>Declaration of Performance</w:t>
                                  </w:r>
                                </w:p>
                              </w:tc>
                            </w:tr>
                            <w:tr w:rsidR="000132F2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0132F2" w:rsidRPr="006D02E0" w:rsidRDefault="00AD0A5D" w:rsidP="00AD0A5D">
                                  <w:pPr>
                                    <w:pStyle w:val="Heading2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877914">
                                    <w:rPr>
                                      <w:szCs w:val="36"/>
                                    </w:rPr>
                                    <w:t xml:space="preserve">DoP-Nr.: </w:t>
                                  </w:r>
                                  <w:r w:rsidR="00FC01D3">
                                    <w:rPr>
                                      <w:szCs w:val="36"/>
                                    </w:rPr>
                                    <w:t>1794 0</w:t>
                                  </w:r>
                                  <w:r w:rsidR="00524F27">
                                    <w:rPr>
                                      <w:noProof/>
                                      <w:szCs w:val="36"/>
                                    </w:rPr>
                                    <w:t>000</w:t>
                                  </w:r>
                                </w:p>
                                <w:p w:rsidR="000132F2" w:rsidRDefault="000132F2" w:rsidP="001F06EB"/>
                                <w:p w:rsidR="000132F2" w:rsidRPr="001F06EB" w:rsidRDefault="000132F2" w:rsidP="001F06EB"/>
                              </w:tc>
                            </w:tr>
                          </w:tbl>
                          <w:p w:rsidR="000132F2" w:rsidRDefault="000132F2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3165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8.35pt;margin-top:87.6pt;width:522pt;height:56.4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2/2zQIAANgFAAAOAAAAZHJzL2Uyb0RvYy54bWysVFtv0zAUfkfiP1h+z3Ihbdpq6ZS1CkKa&#10;tokN7dl17DUisY3ttimI/86xk3Rl8DLES3J87uc7l8urrm3QnmlTS5Hj+CLCiAkqq1o85/jLYxnM&#10;MDKWiIo0UrAcH5nBV8v37y4PasESuZVNxTQCJ8IsDirHW2vVIgwN3bKWmAupmAAhl7olFp76Oaw0&#10;OYD3tgmTKJqGB6krpSVlxgB33Qvx0vvnnFF7x7lhFjU5htys/2r/3bhvuLwki2dN1LamQxrkH7Jo&#10;SS0g6MnVmliCdrr+w1VbUy2N5PaCyjaUnNeU+Rqgmjh6Vc3DlijmawFwjDrBZP6fW3q7v9eornKc&#10;YCRICy16ZJ3lrKlQ4tA5KLMApQcFara7lh10eeQbYLqiO65b94dyEMgB5+MJW3CGKDCn02SeRiCi&#10;IMvi6STKnJvwxVppYz8y2SJH5FhD7zykZH9jbK86qrhgQpZ10/j+NeI3BvjsOcwPQG9NFpAJkE7T&#10;5eSb86MsimS6/rAO1rN5FqQblgSzMkqD6yKdxKssK+N19rMfkhej1SRLimwyD6bFJA7SOJoFRREl&#10;wbosoiJKy9U8vfZGkMgYNHQ49nh5yh4b5lJpxGfGAX8Pm2P4yWerRqM9gZkllDJhPeK+LNB2WhxK&#10;f4vhoO+L96C8xbiHcYwshT0Zt7WQ2jfpVdrV1zFl3utDp8/qdqTtNt0wXxtZHWG8tOzX0yha1jAD&#10;N8TYe6JhH2Fs4MbYO/jwRh5yLAcKo63U3//Gd/qwJiDF6AD7nWPzbUc0w6j5JGCB5nGauoPgHyl0&#10;FB76XLI5l4hdu5LQjhiumaKedPq2GUmuZfsEp6hwUUFEBIXYObYjubL91YFTRllReCU4AYrYG/Gg&#10;qHPtuuMm/LF7IloNa2Bhgm7leAnI4tU29LrOUshiZyWv/ao4gHtUB+DhfPhlG06du0/nb6/1cpCX&#10;vwAAAP//AwBQSwMEFAAGAAgAAAAhAP4+YwjfAAAACwEAAA8AAABkcnMvZG93bnJldi54bWxMj01P&#10;wzAMhu9I+w+RkbixZNU+utJ0mkBcQWwDiVvWeG1F41RNtpZ/j3diR79+9PpxvhldKy7Yh8aThtlU&#10;gUAqvW2o0nDYvz6mIEI0ZE3rCTX8YoBNMbnLTWb9QB942cVKcAmFzGioY+wyKUNZozNh6jsk3p18&#10;70zksa+k7c3A5a6ViVJL6UxDfKE2HT7XWP7szk7D59vp+2uu3qsXt+gGPypJbi21frgft08gIo7x&#10;H4arPqtDwU5HfyYbRKthvVwxyflqkYC4ArO54uioIUlTBbLI5e0PxR8AAAD//wMAUEsBAi0AFAAG&#10;AAgAAAAhALaDOJL+AAAA4QEAABMAAAAAAAAAAAAAAAAAAAAAAFtDb250ZW50X1R5cGVzXS54bWxQ&#10;SwECLQAUAAYACAAAACEAOP0h/9YAAACUAQAACwAAAAAAAAAAAAAAAAAvAQAAX3JlbHMvLnJlbHNQ&#10;SwECLQAUAAYACAAAACEAzgtv9s0CAADYBQAADgAAAAAAAAAAAAAAAAAuAgAAZHJzL2Uyb0RvYy54&#10;bWxQSwECLQAUAAYACAAAACEA/j5jCN8AAAALAQAADwAAAAAAAAAAAAAAAAAnBQAAZHJzL2Rvd25y&#10;ZXYueG1sUEsFBgAAAAAEAAQA8wAAADMGAAAAAA==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0132F2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0132F2" w:rsidRPr="00877914" w:rsidRDefault="00AD0A5D" w:rsidP="00AD0A5D">
                            <w:pPr>
                              <w:pStyle w:val="Heading1"/>
                              <w:jc w:val="center"/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</w:pPr>
                            <w:r w:rsidRPr="009A057D">
                              <w:rPr>
                                <w:lang w:val="en-US"/>
                              </w:rPr>
                              <w:t>Declaration of Performance</w:t>
                            </w:r>
                          </w:p>
                        </w:tc>
                      </w:tr>
                      <w:tr w:rsidR="000132F2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0132F2" w:rsidRPr="006D02E0" w:rsidRDefault="00AD0A5D" w:rsidP="00AD0A5D">
                            <w:pPr>
                              <w:pStyle w:val="Heading2"/>
                              <w:jc w:val="center"/>
                              <w:rPr>
                                <w:lang w:val="en-US"/>
                              </w:rPr>
                            </w:pPr>
                            <w:r w:rsidRPr="00877914">
                              <w:rPr>
                                <w:szCs w:val="36"/>
                              </w:rPr>
                              <w:t xml:space="preserve">DoP-Nr.: </w:t>
                            </w:r>
                            <w:r w:rsidR="00FC01D3">
                              <w:rPr>
                                <w:szCs w:val="36"/>
                              </w:rPr>
                              <w:t>1794 0</w:t>
                            </w:r>
                            <w:r w:rsidR="00524F27">
                              <w:rPr>
                                <w:noProof/>
                                <w:szCs w:val="36"/>
                              </w:rPr>
                              <w:t>000</w:t>
                            </w:r>
                          </w:p>
                          <w:p w:rsidR="000132F2" w:rsidRDefault="000132F2" w:rsidP="001F06EB"/>
                          <w:p w:rsidR="000132F2" w:rsidRPr="001F06EB" w:rsidRDefault="000132F2" w:rsidP="001F06EB"/>
                        </w:tc>
                      </w:tr>
                    </w:tbl>
                    <w:p w:rsidR="000132F2" w:rsidRDefault="000132F2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4338"/>
        <w:gridCol w:w="4677"/>
      </w:tblGrid>
      <w:tr w:rsidR="000132F2" w:rsidRPr="00B94A4C" w:rsidTr="00037F01">
        <w:tc>
          <w:tcPr>
            <w:tcW w:w="482" w:type="dxa"/>
          </w:tcPr>
          <w:p w:rsidR="000132F2" w:rsidRPr="008802E7" w:rsidRDefault="000132F2" w:rsidP="001F06EB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8802E7">
              <w:rPr>
                <w:rFonts w:ascii="Arial Narrow" w:hAnsi="Arial Narrow"/>
                <w:sz w:val="18"/>
                <w:szCs w:val="18"/>
                <w:lang w:val="en-GB"/>
              </w:rPr>
              <w:t>1.</w:t>
            </w:r>
          </w:p>
        </w:tc>
        <w:tc>
          <w:tcPr>
            <w:tcW w:w="4338" w:type="dxa"/>
          </w:tcPr>
          <w:p w:rsidR="000132F2" w:rsidRPr="008802E7" w:rsidRDefault="000132F2" w:rsidP="00B04A69">
            <w:pPr>
              <w:ind w:left="142"/>
              <w:rPr>
                <w:sz w:val="18"/>
                <w:szCs w:val="18"/>
                <w:lang w:val="en-GB"/>
              </w:rPr>
            </w:pPr>
            <w:r w:rsidRPr="00FE3958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677" w:type="dxa"/>
          </w:tcPr>
          <w:p w:rsidR="000132F2" w:rsidRPr="00524F27" w:rsidRDefault="000132F2" w:rsidP="00B04A69">
            <w:pPr>
              <w:ind w:left="142"/>
              <w:rPr>
                <w:sz w:val="18"/>
                <w:szCs w:val="18"/>
                <w:lang w:val="en-US"/>
              </w:rPr>
            </w:pPr>
            <w:proofErr w:type="spellStart"/>
            <w:r w:rsidRPr="00524F27">
              <w:rPr>
                <w:rFonts w:ascii="Arial Narrow" w:hAnsi="Arial Narrow" w:cs="EUAlbertina"/>
                <w:sz w:val="18"/>
                <w:szCs w:val="18"/>
                <w:lang w:val="en-US"/>
              </w:rPr>
              <w:t>Bauder</w:t>
            </w:r>
            <w:r w:rsidR="00FC01D3">
              <w:rPr>
                <w:rFonts w:ascii="Arial Narrow" w:hAnsi="Arial Narrow" w:cs="EUAlbertina"/>
                <w:sz w:val="18"/>
                <w:szCs w:val="18"/>
                <w:lang w:val="en-US"/>
              </w:rPr>
              <w:t>FLEX</w:t>
            </w:r>
            <w:proofErr w:type="spellEnd"/>
            <w:r w:rsidR="00FC01D3"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 TA 600</w:t>
            </w:r>
            <w:r w:rsidR="00524F27"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 </w:t>
            </w:r>
          </w:p>
        </w:tc>
      </w:tr>
      <w:tr w:rsidR="000132F2" w:rsidRPr="00B94A4C" w:rsidTr="00037F01">
        <w:tc>
          <w:tcPr>
            <w:tcW w:w="482" w:type="dxa"/>
          </w:tcPr>
          <w:p w:rsidR="000132F2" w:rsidRPr="008802E7" w:rsidRDefault="000132F2" w:rsidP="001F06EB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2</w:t>
            </w:r>
            <w:r w:rsidRPr="008802E7">
              <w:rPr>
                <w:rFonts w:ascii="Arial Narrow" w:hAnsi="Arial Narrow"/>
                <w:sz w:val="18"/>
                <w:szCs w:val="18"/>
                <w:lang w:val="en-GB"/>
              </w:rPr>
              <w:t>.</w:t>
            </w:r>
          </w:p>
        </w:tc>
        <w:tc>
          <w:tcPr>
            <w:tcW w:w="4338" w:type="dxa"/>
          </w:tcPr>
          <w:p w:rsidR="000132F2" w:rsidRPr="008802E7" w:rsidRDefault="000132F2" w:rsidP="00B04A69">
            <w:pPr>
              <w:ind w:left="142"/>
              <w:rPr>
                <w:sz w:val="18"/>
                <w:szCs w:val="18"/>
                <w:lang w:val="en-GB"/>
              </w:rPr>
            </w:pPr>
            <w:r w:rsidRPr="00FE3958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es</w:t>
            </w:r>
            <w:proofErr w:type="spellEnd"/>
          </w:p>
        </w:tc>
        <w:tc>
          <w:tcPr>
            <w:tcW w:w="4677" w:type="dxa"/>
          </w:tcPr>
          <w:p w:rsidR="00524F27" w:rsidRPr="00ED6CC8" w:rsidRDefault="00524F27" w:rsidP="00ED6CC8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US"/>
              </w:rPr>
            </w:pPr>
            <w:r w:rsidRPr="00524F27">
              <w:rPr>
                <w:rFonts w:ascii="Arial Narrow" w:hAnsi="Arial Narrow" w:cs="EUAlbertina"/>
                <w:sz w:val="18"/>
                <w:szCs w:val="18"/>
                <w:lang w:val="en-US"/>
              </w:rPr>
              <w:t>Reinforced bi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>tumen sheets for roof waterproofing</w:t>
            </w:r>
          </w:p>
        </w:tc>
      </w:tr>
      <w:tr w:rsidR="000132F2" w:rsidRPr="009755A4" w:rsidTr="00037F01">
        <w:tc>
          <w:tcPr>
            <w:tcW w:w="482" w:type="dxa"/>
          </w:tcPr>
          <w:p w:rsidR="000132F2" w:rsidRPr="008802E7" w:rsidRDefault="000132F2" w:rsidP="001F06EB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3</w:t>
            </w:r>
            <w:r w:rsidRPr="008802E7">
              <w:rPr>
                <w:rFonts w:ascii="Arial Narrow" w:hAnsi="Arial Narrow"/>
                <w:sz w:val="18"/>
                <w:szCs w:val="18"/>
                <w:lang w:val="en-GB"/>
              </w:rPr>
              <w:t>.</w:t>
            </w:r>
          </w:p>
        </w:tc>
        <w:tc>
          <w:tcPr>
            <w:tcW w:w="4338" w:type="dxa"/>
          </w:tcPr>
          <w:p w:rsidR="000132F2" w:rsidRPr="00470548" w:rsidRDefault="000132F2" w:rsidP="00B04A69">
            <w:pPr>
              <w:ind w:left="142"/>
              <w:rPr>
                <w:sz w:val="18"/>
                <w:szCs w:val="18"/>
                <w:lang w:val="en-US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Manufacturer</w:t>
            </w:r>
          </w:p>
        </w:tc>
        <w:tc>
          <w:tcPr>
            <w:tcW w:w="4677" w:type="dxa"/>
          </w:tcPr>
          <w:p w:rsidR="000132F2" w:rsidRPr="008802E7" w:rsidRDefault="000132F2" w:rsidP="00B04A69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8802E7"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Korntaler Landstrasse 63, </w:t>
            </w:r>
          </w:p>
          <w:p w:rsidR="000132F2" w:rsidRPr="008802E7" w:rsidRDefault="000132F2" w:rsidP="00B04A69">
            <w:pPr>
              <w:ind w:left="142"/>
              <w:rPr>
                <w:rFonts w:ascii="Arial Narrow" w:hAnsi="Arial Narrow"/>
                <w:color w:val="FF0000"/>
                <w:sz w:val="18"/>
                <w:szCs w:val="18"/>
                <w:lang w:val="pl-PL"/>
              </w:rPr>
            </w:pPr>
            <w:r w:rsidRPr="008802E7">
              <w:rPr>
                <w:rFonts w:ascii="Arial Narrow" w:hAnsi="Arial Narrow"/>
                <w:sz w:val="18"/>
                <w:szCs w:val="18"/>
                <w:lang w:val="pl-PL"/>
              </w:rPr>
              <w:t>70499 Stuttgart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, Germany</w:t>
            </w:r>
          </w:p>
        </w:tc>
      </w:tr>
      <w:tr w:rsidR="000132F2" w:rsidRPr="0071737E" w:rsidTr="00037F01">
        <w:tc>
          <w:tcPr>
            <w:tcW w:w="482" w:type="dxa"/>
          </w:tcPr>
          <w:p w:rsidR="000132F2" w:rsidRPr="008802E7" w:rsidRDefault="000132F2" w:rsidP="001F06EB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4</w:t>
            </w:r>
            <w:r w:rsidRPr="008802E7">
              <w:rPr>
                <w:rFonts w:ascii="Arial Narrow" w:hAnsi="Arial Narrow"/>
                <w:sz w:val="18"/>
                <w:szCs w:val="18"/>
                <w:lang w:val="en-GB"/>
              </w:rPr>
              <w:t>.</w:t>
            </w:r>
          </w:p>
        </w:tc>
        <w:tc>
          <w:tcPr>
            <w:tcW w:w="4338" w:type="dxa"/>
          </w:tcPr>
          <w:p w:rsidR="000132F2" w:rsidRPr="00470548" w:rsidRDefault="000132F2" w:rsidP="00B04A69">
            <w:pPr>
              <w:ind w:left="142"/>
              <w:rPr>
                <w:sz w:val="18"/>
                <w:szCs w:val="18"/>
                <w:lang w:val="en-US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System/s</w:t>
            </w:r>
            <w:r w:rsidRPr="00260821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 xml:space="preserve"> of </w:t>
            </w:r>
            <w:r w:rsidR="003C3918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assessment and verification of constancy of performance of the construction product</w:t>
            </w:r>
          </w:p>
        </w:tc>
        <w:tc>
          <w:tcPr>
            <w:tcW w:w="4677" w:type="dxa"/>
          </w:tcPr>
          <w:p w:rsidR="000132F2" w:rsidRPr="008802E7" w:rsidRDefault="003C3918" w:rsidP="00B04A69">
            <w:pPr>
              <w:ind w:left="142"/>
              <w:rPr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System 2+</w:t>
            </w:r>
          </w:p>
        </w:tc>
      </w:tr>
      <w:tr w:rsidR="000132F2" w:rsidRPr="006823A2" w:rsidTr="00037F01">
        <w:tc>
          <w:tcPr>
            <w:tcW w:w="482" w:type="dxa"/>
          </w:tcPr>
          <w:p w:rsidR="000132F2" w:rsidRPr="008802E7" w:rsidRDefault="000132F2" w:rsidP="001F06EB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5</w:t>
            </w:r>
            <w:r w:rsidRPr="008802E7">
              <w:rPr>
                <w:rFonts w:ascii="Arial Narrow" w:hAnsi="Arial Narrow"/>
                <w:sz w:val="18"/>
                <w:szCs w:val="18"/>
                <w:lang w:val="en-GB"/>
              </w:rPr>
              <w:t>.</w:t>
            </w:r>
          </w:p>
        </w:tc>
        <w:tc>
          <w:tcPr>
            <w:tcW w:w="4338" w:type="dxa"/>
          </w:tcPr>
          <w:p w:rsidR="000132F2" w:rsidRPr="00260821" w:rsidRDefault="000132F2" w:rsidP="002322D0">
            <w:pPr>
              <w:pStyle w:val="CM4"/>
              <w:tabs>
                <w:tab w:val="left" w:pos="2977"/>
              </w:tabs>
              <w:spacing w:before="60" w:after="60"/>
              <w:ind w:left="142"/>
              <w:rPr>
                <w:rFonts w:ascii="Arial Narrow" w:hAnsi="Arial Narrow" w:cs="EUAlbertina"/>
                <w:sz w:val="18"/>
                <w:szCs w:val="18"/>
                <w:lang w:val="en-US"/>
              </w:rPr>
            </w:pPr>
            <w:proofErr w:type="spellStart"/>
            <w:r w:rsidRPr="00260821">
              <w:rPr>
                <w:rFonts w:ascii="Arial Narrow" w:hAnsi="Arial Narrow" w:cs="EUAlbertina"/>
                <w:sz w:val="18"/>
                <w:szCs w:val="18"/>
                <w:lang w:val="en-US"/>
              </w:rPr>
              <w:t>Harmonised</w:t>
            </w:r>
            <w:proofErr w:type="spellEnd"/>
            <w:r w:rsidRPr="00260821"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 standard </w:t>
            </w:r>
          </w:p>
          <w:p w:rsidR="000132F2" w:rsidRPr="00E525FD" w:rsidRDefault="000132F2" w:rsidP="002322D0">
            <w:pPr>
              <w:ind w:left="142"/>
              <w:rPr>
                <w:sz w:val="18"/>
                <w:szCs w:val="18"/>
                <w:lang w:val="en-US"/>
              </w:rPr>
            </w:pPr>
            <w:r w:rsidRPr="00260821">
              <w:rPr>
                <w:rFonts w:ascii="Arial Narrow" w:hAnsi="Arial Narrow" w:cs="EUAlbertina"/>
                <w:sz w:val="18"/>
                <w:szCs w:val="18"/>
                <w:lang w:val="en-US"/>
              </w:rPr>
              <w:t>Notified body</w:t>
            </w:r>
          </w:p>
        </w:tc>
        <w:tc>
          <w:tcPr>
            <w:tcW w:w="4677" w:type="dxa"/>
          </w:tcPr>
          <w:p w:rsidR="000132F2" w:rsidRPr="003C3918" w:rsidRDefault="00E74D6D" w:rsidP="00CC12AC">
            <w:pPr>
              <w:pStyle w:val="CM4"/>
              <w:tabs>
                <w:tab w:val="left" w:pos="2977"/>
              </w:tabs>
              <w:spacing w:before="60" w:after="60"/>
              <w:ind w:left="142"/>
              <w:rPr>
                <w:rFonts w:ascii="Arial Narrow" w:hAnsi="Arial Narrow" w:cs="EUAlbertina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EN 13707</w:t>
            </w:r>
            <w:r w:rsidR="00037F01">
              <w:rPr>
                <w:rFonts w:ascii="Arial Narrow" w:hAnsi="Arial Narrow" w:cs="EUAlbertina"/>
                <w:sz w:val="18"/>
                <w:szCs w:val="18"/>
                <w:lang w:val="de-DE"/>
              </w:rPr>
              <w:t>: 2013</w:t>
            </w:r>
          </w:p>
          <w:p w:rsidR="003C3918" w:rsidRDefault="003C3918" w:rsidP="003C3918">
            <w:pPr>
              <w:pStyle w:val="CM4"/>
              <w:tabs>
                <w:tab w:val="left" w:pos="2977"/>
              </w:tabs>
              <w:spacing w:before="60" w:after="60"/>
              <w:ind w:left="142"/>
              <w:rPr>
                <w:rFonts w:ascii="Arial Narrow" w:hAnsi="Arial Narrow" w:cs="EUAlbertina"/>
                <w:sz w:val="18"/>
                <w:szCs w:val="18"/>
                <w:lang w:val="de-DE"/>
              </w:rPr>
            </w:pPr>
            <w:r w:rsidRPr="003C3918">
              <w:rPr>
                <w:rFonts w:ascii="Arial Narrow" w:hAnsi="Arial Narrow" w:cs="EUAlbertina"/>
                <w:sz w:val="18"/>
                <w:szCs w:val="18"/>
                <w:lang w:val="de-DE"/>
              </w:rPr>
              <w:t>Gemeinschaft für Qualitätsüberwachung von Polymerbitumen- und Bitumenbahnen e.V.</w:t>
            </w:r>
          </w:p>
          <w:p w:rsidR="003C3918" w:rsidRPr="003C3918" w:rsidRDefault="003C3918" w:rsidP="003C3918">
            <w:pPr>
              <w:rPr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  </w:t>
            </w:r>
            <w:r w:rsidRPr="003C3918">
              <w:rPr>
                <w:rFonts w:ascii="Arial Narrow" w:hAnsi="Arial Narrow" w:cs="EUAlbertina"/>
                <w:sz w:val="18"/>
                <w:szCs w:val="18"/>
                <w:lang w:val="de-DE"/>
              </w:rPr>
              <w:t>Certification Body 1724</w:t>
            </w:r>
          </w:p>
        </w:tc>
      </w:tr>
    </w:tbl>
    <w:p w:rsidR="000132F2" w:rsidRPr="00524F27" w:rsidRDefault="000132F2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en-US"/>
        </w:rPr>
      </w:pPr>
    </w:p>
    <w:p w:rsidR="00037F01" w:rsidRDefault="000132F2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>
        <w:rPr>
          <w:rFonts w:ascii="Arial Narrow" w:hAnsi="Arial Narrow"/>
          <w:b/>
          <w:sz w:val="22"/>
          <w:szCs w:val="22"/>
          <w:lang w:val="en-GB"/>
        </w:rPr>
        <w:t>6</w:t>
      </w:r>
      <w:r w:rsidRPr="00941391">
        <w:rPr>
          <w:rFonts w:ascii="Arial Narrow" w:hAnsi="Arial Narrow"/>
          <w:b/>
          <w:sz w:val="22"/>
          <w:szCs w:val="22"/>
          <w:lang w:val="en-GB"/>
        </w:rPr>
        <w:t xml:space="preserve">. </w:t>
      </w:r>
      <w:r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065EAF" w:rsidRDefault="00065EAF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3794"/>
        <w:gridCol w:w="1120"/>
        <w:gridCol w:w="2456"/>
        <w:gridCol w:w="2456"/>
      </w:tblGrid>
      <w:tr w:rsidR="00037F01" w:rsidTr="00037F01">
        <w:tc>
          <w:tcPr>
            <w:tcW w:w="3794" w:type="dxa"/>
            <w:tcBorders>
              <w:righ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  <w:r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</w:p>
        </w:tc>
        <w:tc>
          <w:tcPr>
            <w:tcW w:w="2456" w:type="dxa"/>
          </w:tcPr>
          <w:p w:rsidR="00037F01" w:rsidRDefault="00037F01" w:rsidP="008753DE">
            <w:pPr>
              <w:tabs>
                <w:tab w:val="left" w:pos="6383"/>
              </w:tabs>
              <w:jc w:val="center"/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  <w:r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2456" w:type="dxa"/>
          </w:tcPr>
          <w:p w:rsidR="008753DE" w:rsidRPr="008753DE" w:rsidRDefault="008753DE" w:rsidP="008753DE">
            <w:pPr>
              <w:autoSpaceDE w:val="0"/>
              <w:autoSpaceDN w:val="0"/>
              <w:adjustRightInd w:val="0"/>
              <w:jc w:val="center"/>
              <w:rPr>
                <w:rFonts w:ascii="Arial Narrow" w:eastAsia="MS Mincho" w:hAnsi="Arial Narrow" w:cs="Arial"/>
                <w:b/>
                <w:sz w:val="20"/>
                <w:szCs w:val="20"/>
                <w:lang w:eastAsia="ja-JP"/>
              </w:rPr>
            </w:pPr>
            <w:r w:rsidRPr="008753DE">
              <w:rPr>
                <w:rFonts w:ascii="Arial Narrow" w:eastAsia="MS Mincho" w:hAnsi="Arial Narrow" w:cs="Arial"/>
                <w:b/>
                <w:sz w:val="20"/>
                <w:szCs w:val="20"/>
                <w:lang w:eastAsia="ja-JP"/>
              </w:rPr>
              <w:t>Harmonized technical</w:t>
            </w:r>
          </w:p>
          <w:p w:rsidR="00037F01" w:rsidRPr="008753DE" w:rsidRDefault="008753DE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8753DE">
              <w:rPr>
                <w:rFonts w:ascii="Arial Narrow" w:eastAsia="MS Mincho" w:hAnsi="Arial Narrow" w:cs="Arial"/>
                <w:b/>
                <w:sz w:val="20"/>
                <w:szCs w:val="20"/>
                <w:lang w:eastAsia="ja-JP"/>
              </w:rPr>
              <w:t>specification</w:t>
            </w:r>
          </w:p>
        </w:tc>
      </w:tr>
      <w:tr w:rsidR="00037F01" w:rsidTr="00037F01">
        <w:tc>
          <w:tcPr>
            <w:tcW w:w="3794" w:type="dxa"/>
            <w:tcBorders>
              <w:right w:val="nil"/>
            </w:tcBorders>
          </w:tcPr>
          <w:p w:rsidR="00037F01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 xml:space="preserve">External fire performance </w:t>
            </w:r>
            <w:r w:rsidRPr="00A86B1A">
              <w:rPr>
                <w:rFonts w:ascii="Arial Narrow" w:hAnsi="Arial Narrow"/>
                <w:sz w:val="18"/>
                <w:szCs w:val="18"/>
                <w:vertAlign w:val="superscript"/>
                <w:lang w:val="en-GB"/>
              </w:rPr>
              <w:t>a)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</w:p>
        </w:tc>
        <w:tc>
          <w:tcPr>
            <w:tcW w:w="2456" w:type="dxa"/>
          </w:tcPr>
          <w:p w:rsidR="00037F01" w:rsidRPr="00A26DDD" w:rsidRDefault="00037F01" w:rsidP="008753DE">
            <w:pPr>
              <w:pStyle w:val="CM4"/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B</w:t>
            </w:r>
            <w:r w:rsidRPr="00044E07">
              <w:rPr>
                <w:rFonts w:ascii="Arial Narrow" w:hAnsi="Arial Narrow"/>
                <w:sz w:val="18"/>
                <w:szCs w:val="18"/>
                <w:vertAlign w:val="subscript"/>
                <w:lang w:val="de-DE"/>
              </w:rPr>
              <w:t>roof</w:t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>(t1)</w:t>
            </w:r>
          </w:p>
        </w:tc>
        <w:tc>
          <w:tcPr>
            <w:tcW w:w="2456" w:type="dxa"/>
          </w:tcPr>
          <w:p w:rsidR="00037F01" w:rsidRPr="008753DE" w:rsidRDefault="008753DE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EN V 1187</w:t>
            </w:r>
            <w:r w:rsidR="00065EAF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: 2012</w:t>
            </w:r>
          </w:p>
        </w:tc>
      </w:tr>
      <w:tr w:rsidR="00037F01" w:rsidTr="008753DE">
        <w:tc>
          <w:tcPr>
            <w:tcW w:w="3794" w:type="dxa"/>
            <w:tcBorders>
              <w:right w:val="nil"/>
            </w:tcBorders>
          </w:tcPr>
          <w:p w:rsidR="00037F01" w:rsidRPr="00A26DDD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Reaction to fire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</w:p>
        </w:tc>
        <w:tc>
          <w:tcPr>
            <w:tcW w:w="2456" w:type="dxa"/>
          </w:tcPr>
          <w:p w:rsidR="00037F01" w:rsidRPr="00A26DDD" w:rsidRDefault="00037F01" w:rsidP="008753DE">
            <w:pPr>
              <w:pStyle w:val="CM4"/>
              <w:jc w:val="center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A26DDD">
              <w:rPr>
                <w:rFonts w:ascii="Arial Narrow" w:hAnsi="Arial Narrow"/>
                <w:sz w:val="18"/>
                <w:szCs w:val="18"/>
                <w:lang w:val="de-DE"/>
              </w:rPr>
              <w:t xml:space="preserve">Class </w:t>
            </w:r>
            <w:r w:rsidRPr="00174B95">
              <w:rPr>
                <w:rFonts w:ascii="Arial Narrow" w:hAnsi="Arial Narrow"/>
                <w:noProof/>
                <w:sz w:val="18"/>
                <w:szCs w:val="18"/>
                <w:lang w:val="de-DE"/>
              </w:rPr>
              <w:t>E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037F01" w:rsidRPr="008753DE" w:rsidRDefault="008753DE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EN 13501-1</w:t>
            </w:r>
            <w:r w:rsidR="00065EAF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: 2010</w:t>
            </w:r>
          </w:p>
        </w:tc>
      </w:tr>
      <w:tr w:rsidR="00037F01" w:rsidTr="008753DE">
        <w:tc>
          <w:tcPr>
            <w:tcW w:w="3794" w:type="dxa"/>
            <w:tcBorders>
              <w:right w:val="nil"/>
            </w:tcBorders>
          </w:tcPr>
          <w:p w:rsidR="00037F01" w:rsidRPr="00A26DDD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  <w:lang w:val="en-GB"/>
              </w:rPr>
              <w:t>Watertightness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en-GB"/>
              </w:rPr>
              <w:t>, Method B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</w:p>
        </w:tc>
        <w:tc>
          <w:tcPr>
            <w:tcW w:w="2456" w:type="dxa"/>
          </w:tcPr>
          <w:p w:rsidR="00037F01" w:rsidRPr="00441982" w:rsidRDefault="00037F01" w:rsidP="008753DE">
            <w:pPr>
              <w:pStyle w:val="CM4"/>
              <w:jc w:val="center"/>
              <w:rPr>
                <w:rFonts w:ascii="Arial Narrow" w:hAnsi="Arial Narrow"/>
                <w:sz w:val="16"/>
                <w:szCs w:val="18"/>
                <w:lang w:val="en-US"/>
              </w:rPr>
            </w:pPr>
            <w:r w:rsidRPr="00044E07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</w:p>
        </w:tc>
        <w:tc>
          <w:tcPr>
            <w:tcW w:w="2456" w:type="dxa"/>
            <w:tcBorders>
              <w:bottom w:val="nil"/>
            </w:tcBorders>
          </w:tcPr>
          <w:p w:rsidR="00037F01" w:rsidRPr="008753DE" w:rsidRDefault="00037F01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</w:tc>
      </w:tr>
      <w:tr w:rsidR="00037F01" w:rsidTr="008753DE">
        <w:tc>
          <w:tcPr>
            <w:tcW w:w="3794" w:type="dxa"/>
            <w:tcBorders>
              <w:right w:val="nil"/>
            </w:tcBorders>
          </w:tcPr>
          <w:p w:rsidR="00037F01" w:rsidRPr="004B264E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4B264E">
              <w:rPr>
                <w:rFonts w:ascii="Arial Narrow" w:hAnsi="Arial Narrow"/>
                <w:sz w:val="18"/>
                <w:szCs w:val="18"/>
                <w:lang w:val="en-US"/>
              </w:rPr>
              <w:t>Tensile properties:</w:t>
            </w:r>
          </w:p>
          <w:p w:rsidR="00037F01" w:rsidRPr="00891841" w:rsidRDefault="00037F01" w:rsidP="00ED76FE">
            <w:pPr>
              <w:ind w:left="199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lenght                                                                        </w:t>
            </w:r>
          </w:p>
          <w:p w:rsidR="00037F01" w:rsidRPr="00891841" w:rsidRDefault="00037F01" w:rsidP="00ED76FE">
            <w:pPr>
              <w:ind w:left="199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transverse                                                                 </w:t>
            </w:r>
          </w:p>
          <w:p w:rsidR="00037F01" w:rsidRPr="00891841" w:rsidRDefault="00037F01" w:rsidP="00ED76FE">
            <w:pPr>
              <w:ind w:left="199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lenght                                                   </w:t>
            </w:r>
          </w:p>
          <w:p w:rsidR="00037F01" w:rsidRPr="004B264E" w:rsidRDefault="00037F01" w:rsidP="00ED76FE">
            <w:pPr>
              <w:ind w:left="199"/>
              <w:rPr>
                <w:lang w:val="en-US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transverse                                            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7E4D20">
            <w:pPr>
              <w:pStyle w:val="CM4"/>
              <w:tabs>
                <w:tab w:val="center" w:pos="912"/>
              </w:tabs>
              <w:ind w:left="142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  <w:p w:rsidR="00037F01" w:rsidRDefault="00037F01" w:rsidP="007E4D20">
            <w:pPr>
              <w:pStyle w:val="CM4"/>
              <w:tabs>
                <w:tab w:val="center" w:pos="912"/>
              </w:tabs>
              <w:ind w:left="142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(N/50 mm) (N/50 mm) ( %)</w:t>
            </w:r>
          </w:p>
          <w:p w:rsidR="00037F01" w:rsidRPr="00174B95" w:rsidRDefault="00037F01" w:rsidP="007E4D20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noProof/>
                <w:sz w:val="18"/>
                <w:szCs w:val="18"/>
                <w:lang w:val="en-US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 %)</w:t>
            </w:r>
          </w:p>
        </w:tc>
        <w:tc>
          <w:tcPr>
            <w:tcW w:w="2456" w:type="dxa"/>
          </w:tcPr>
          <w:p w:rsidR="00037F01" w:rsidRDefault="00037F01" w:rsidP="008753DE">
            <w:pPr>
              <w:ind w:left="175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  <w:p w:rsidR="00037F01" w:rsidRPr="00682CCF" w:rsidRDefault="00037F01" w:rsidP="008753DE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≥</w:t>
            </w:r>
            <w:r w:rsidR="00995FE6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550</w:t>
            </w:r>
          </w:p>
          <w:p w:rsidR="00037F01" w:rsidRPr="00682CCF" w:rsidRDefault="00037F01" w:rsidP="008753DE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≥</w:t>
            </w:r>
            <w:r w:rsidR="00995FE6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400</w:t>
            </w:r>
          </w:p>
          <w:p w:rsidR="00037F01" w:rsidRPr="00682CCF" w:rsidRDefault="00037F01" w:rsidP="008753DE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≥</w:t>
            </w:r>
            <w:r w:rsidR="00995FE6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20</w:t>
            </w:r>
          </w:p>
          <w:p w:rsidR="00037F01" w:rsidRPr="007A2B50" w:rsidRDefault="00037F01" w:rsidP="008753DE">
            <w:pPr>
              <w:pStyle w:val="CM4"/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≥</w:t>
            </w:r>
            <w:r w:rsidR="00995FE6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20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037F01" w:rsidRDefault="00037F01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  <w:p w:rsidR="008753DE" w:rsidRDefault="008753DE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  <w:p w:rsidR="008753DE" w:rsidRPr="008753DE" w:rsidRDefault="008753DE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EN 13707: 2013</w:t>
            </w:r>
          </w:p>
        </w:tc>
      </w:tr>
      <w:tr w:rsidR="00037F01" w:rsidTr="008753DE">
        <w:tc>
          <w:tcPr>
            <w:tcW w:w="3794" w:type="dxa"/>
            <w:tcBorders>
              <w:right w:val="nil"/>
            </w:tcBorders>
          </w:tcPr>
          <w:p w:rsidR="00037F01" w:rsidRPr="004B264E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Flexibility at low temperature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                                                                            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Pr="004B264E" w:rsidRDefault="00037F01" w:rsidP="007E4D20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(°C)</w:t>
            </w:r>
          </w:p>
        </w:tc>
        <w:tc>
          <w:tcPr>
            <w:tcW w:w="2456" w:type="dxa"/>
          </w:tcPr>
          <w:p w:rsidR="00037F01" w:rsidRPr="004B264E" w:rsidRDefault="00037F01" w:rsidP="008753DE">
            <w:pPr>
              <w:pStyle w:val="CM4"/>
              <w:tabs>
                <w:tab w:val="left" w:pos="1703"/>
              </w:tabs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≤</w:t>
            </w:r>
            <w:r w:rsidRPr="000C313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-</w:t>
            </w:r>
            <w:r w:rsidR="00995FE6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20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037F01" w:rsidRPr="008753DE" w:rsidRDefault="00037F01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</w:tc>
      </w:tr>
      <w:tr w:rsidR="00037F01" w:rsidTr="008753DE">
        <w:tc>
          <w:tcPr>
            <w:tcW w:w="3794" w:type="dxa"/>
            <w:tcBorders>
              <w:right w:val="nil"/>
            </w:tcBorders>
          </w:tcPr>
          <w:p w:rsidR="00037F01" w:rsidRPr="004B264E" w:rsidRDefault="00037F01" w:rsidP="00ED76F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Hazardous Substances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 w:rsidRPr="00891841">
              <w:rPr>
                <w:rFonts w:ascii="Arial Narrow" w:eastAsia="MS Mincho" w:hAnsi="Arial Narrow" w:cs="Arial"/>
                <w:b/>
                <w:sz w:val="18"/>
                <w:szCs w:val="18"/>
                <w:vertAlign w:val="superscript"/>
                <w:lang w:eastAsia="ja-JP"/>
              </w:rPr>
              <w:t>b), c)</w:t>
            </w:r>
          </w:p>
        </w:tc>
        <w:tc>
          <w:tcPr>
            <w:tcW w:w="1120" w:type="dxa"/>
            <w:tcBorders>
              <w:left w:val="nil"/>
            </w:tcBorders>
          </w:tcPr>
          <w:p w:rsidR="00037F01" w:rsidRDefault="00037F01" w:rsidP="00B04A69">
            <w:pPr>
              <w:tabs>
                <w:tab w:val="left" w:pos="6383"/>
              </w:tabs>
              <w:rPr>
                <w:rFonts w:ascii="Arial Narrow" w:hAnsi="Arial Narrow" w:cs="EUAlbertina"/>
                <w:b/>
                <w:color w:val="19161B"/>
                <w:sz w:val="22"/>
                <w:szCs w:val="22"/>
                <w:lang w:val="en-GB"/>
              </w:rPr>
            </w:pPr>
          </w:p>
        </w:tc>
        <w:tc>
          <w:tcPr>
            <w:tcW w:w="2456" w:type="dxa"/>
          </w:tcPr>
          <w:p w:rsidR="00037F01" w:rsidRDefault="00037F01" w:rsidP="008753DE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Passed,</w:t>
            </w:r>
          </w:p>
          <w:p w:rsidR="00037F01" w:rsidRPr="00E74D6D" w:rsidRDefault="00037F01" w:rsidP="008753DE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s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ee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5.3 EN 13707</w:t>
            </w:r>
          </w:p>
        </w:tc>
        <w:tc>
          <w:tcPr>
            <w:tcW w:w="2456" w:type="dxa"/>
            <w:tcBorders>
              <w:top w:val="nil"/>
            </w:tcBorders>
          </w:tcPr>
          <w:p w:rsidR="00037F01" w:rsidRPr="008753DE" w:rsidRDefault="00037F01" w:rsidP="008753DE">
            <w:pPr>
              <w:tabs>
                <w:tab w:val="left" w:pos="6383"/>
              </w:tabs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</w:p>
        </w:tc>
      </w:tr>
    </w:tbl>
    <w:p w:rsidR="000132F2" w:rsidRPr="00656BC1" w:rsidRDefault="000132F2" w:rsidP="00037F01">
      <w:pPr>
        <w:pStyle w:val="CM4"/>
        <w:rPr>
          <w:rFonts w:ascii="Arial Narrow" w:hAnsi="Arial Narrow" w:cs="EUAlbertina"/>
          <w:color w:val="19161B"/>
          <w:sz w:val="18"/>
          <w:szCs w:val="18"/>
          <w:lang w:val="en-US"/>
        </w:rPr>
      </w:pPr>
      <w:r w:rsidRPr="00656BC1">
        <w:rPr>
          <w:rFonts w:ascii="Arial Narrow" w:hAnsi="Arial Narrow" w:cs="EUAlbertina"/>
          <w:color w:val="19161B"/>
          <w:sz w:val="18"/>
          <w:szCs w:val="18"/>
          <w:lang w:val="en-US"/>
        </w:rPr>
        <w:t xml:space="preserve">For all other characteristics </w:t>
      </w:r>
      <w:r w:rsidR="00044E07">
        <w:rPr>
          <w:rFonts w:ascii="Arial Narrow" w:hAnsi="Arial Narrow" w:cs="EUAlbertina"/>
          <w:color w:val="19161B"/>
          <w:sz w:val="18"/>
          <w:szCs w:val="18"/>
          <w:lang w:val="en-US"/>
        </w:rPr>
        <w:t>ac</w:t>
      </w:r>
      <w:r w:rsidR="00E74D6D">
        <w:rPr>
          <w:rFonts w:ascii="Arial Narrow" w:hAnsi="Arial Narrow" w:cs="EUAlbertina"/>
          <w:color w:val="19161B"/>
          <w:sz w:val="18"/>
          <w:szCs w:val="18"/>
          <w:lang w:val="en-US"/>
        </w:rPr>
        <w:t>cording to EN 13707</w:t>
      </w:r>
      <w:r w:rsidRPr="00656BC1">
        <w:rPr>
          <w:rFonts w:ascii="Arial Narrow" w:hAnsi="Arial Narrow" w:cs="EUAlbertina"/>
          <w:color w:val="19161B"/>
          <w:sz w:val="18"/>
          <w:szCs w:val="18"/>
          <w:lang w:val="en-US"/>
        </w:rPr>
        <w:t>: NPD (no performance determined)</w:t>
      </w:r>
    </w:p>
    <w:p w:rsidR="000132F2" w:rsidRDefault="000132F2" w:rsidP="00B04A69">
      <w:pPr>
        <w:ind w:left="142"/>
        <w:rPr>
          <w:lang w:val="en-US"/>
        </w:rPr>
      </w:pPr>
    </w:p>
    <w:p w:rsidR="002E2F46" w:rsidRPr="004B42D7" w:rsidRDefault="002E2F46" w:rsidP="002E2F46">
      <w:pPr>
        <w:ind w:left="1418" w:hanging="709"/>
        <w:rPr>
          <w:rFonts w:ascii="Arial Narrow" w:hAnsi="Arial Narrow"/>
          <w:sz w:val="12"/>
          <w:szCs w:val="12"/>
        </w:rPr>
      </w:pPr>
      <w:r w:rsidRPr="004B42D7">
        <w:rPr>
          <w:rFonts w:ascii="Arial Narrow" w:hAnsi="Arial Narrow"/>
          <w:sz w:val="12"/>
          <w:szCs w:val="12"/>
        </w:rPr>
        <w:t>a)</w:t>
      </w:r>
      <w:r w:rsidRPr="004B42D7"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 xml:space="preserve">Determination of external fire performance is a system test. which can be influenced by system components, which are not produced or sold by Bauder GmbH, thus  performance for each product can not be given. </w:t>
      </w:r>
    </w:p>
    <w:p w:rsidR="002E2F46" w:rsidRPr="00064E17" w:rsidRDefault="002E2F46" w:rsidP="002E2F46">
      <w:pPr>
        <w:pStyle w:val="ListParagraph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064E17">
        <w:rPr>
          <w:rFonts w:ascii="Arial Narrow" w:hAnsi="Arial Narrow"/>
          <w:sz w:val="12"/>
          <w:szCs w:val="12"/>
          <w:lang w:val="en-US"/>
        </w:rPr>
        <w:t>b)</w:t>
      </w:r>
      <w:r w:rsidRPr="00064E17">
        <w:rPr>
          <w:rFonts w:ascii="Arial Narrow" w:hAnsi="Arial Narrow"/>
          <w:sz w:val="12"/>
          <w:szCs w:val="12"/>
          <w:lang w:val="en-US"/>
        </w:rPr>
        <w:tab/>
      </w:r>
      <w:r>
        <w:rPr>
          <w:rFonts w:ascii="Arial Narrow" w:hAnsi="Arial Narrow"/>
          <w:sz w:val="12"/>
          <w:szCs w:val="12"/>
          <w:lang w:val="en-US"/>
        </w:rPr>
        <w:t>Product does not</w:t>
      </w:r>
      <w:r w:rsidRPr="00064E17">
        <w:rPr>
          <w:rFonts w:ascii="Arial Narrow" w:hAnsi="Arial Narrow"/>
          <w:sz w:val="12"/>
          <w:szCs w:val="12"/>
          <w:lang w:val="en-US"/>
        </w:rPr>
        <w:t xml:space="preserve"> contain asbestos or tar</w:t>
      </w:r>
    </w:p>
    <w:p w:rsidR="002E2F46" w:rsidRPr="00E83065" w:rsidRDefault="002E2F46" w:rsidP="002E2F46">
      <w:pPr>
        <w:pStyle w:val="ListParagraph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E83065">
        <w:rPr>
          <w:rFonts w:ascii="Arial Narrow" w:hAnsi="Arial Narrow"/>
          <w:sz w:val="12"/>
          <w:szCs w:val="12"/>
          <w:lang w:val="en-US"/>
        </w:rPr>
        <w:t>c)</w:t>
      </w:r>
      <w:r w:rsidRPr="00E83065">
        <w:rPr>
          <w:rFonts w:ascii="Arial Narrow" w:hAnsi="Arial Narrow"/>
          <w:sz w:val="12"/>
          <w:szCs w:val="12"/>
          <w:lang w:val="en-US"/>
        </w:rPr>
        <w:tab/>
      </w:r>
      <w:r>
        <w:rPr>
          <w:rFonts w:ascii="Arial Narrow" w:hAnsi="Arial Narrow"/>
          <w:sz w:val="12"/>
          <w:szCs w:val="12"/>
          <w:lang w:val="en-US"/>
        </w:rPr>
        <w:t>Because there is no E</w:t>
      </w:r>
      <w:r w:rsidRPr="00E83065">
        <w:rPr>
          <w:rFonts w:ascii="Arial Narrow" w:hAnsi="Arial Narrow"/>
          <w:sz w:val="12"/>
          <w:szCs w:val="12"/>
          <w:lang w:val="en-US"/>
        </w:rPr>
        <w:t>uropean test method for leaching of the products, no statement c</w:t>
      </w:r>
      <w:r>
        <w:rPr>
          <w:rFonts w:ascii="Arial Narrow" w:hAnsi="Arial Narrow"/>
          <w:sz w:val="12"/>
          <w:szCs w:val="12"/>
          <w:lang w:val="en-US"/>
        </w:rPr>
        <w:t>an be made</w:t>
      </w:r>
    </w:p>
    <w:p w:rsidR="002E2F46" w:rsidRPr="00656BC1" w:rsidRDefault="002E2F46" w:rsidP="002E2F46">
      <w:pPr>
        <w:rPr>
          <w:lang w:val="en-US"/>
        </w:rPr>
      </w:pPr>
    </w:p>
    <w:p w:rsidR="000132F2" w:rsidRPr="00FE3958" w:rsidRDefault="000132F2" w:rsidP="002322D0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A8616D">
        <w:rPr>
          <w:rFonts w:ascii="Arial Narrow" w:hAnsi="Arial Narrow" w:cs="EUAlbertina"/>
          <w:color w:val="19161B"/>
          <w:sz w:val="18"/>
          <w:szCs w:val="18"/>
          <w:lang w:val="en-GB"/>
        </w:rPr>
        <w:t>The performance of the product identified above is in conformity with the set of declared performance/s. This declaration of performance is issued, in accordance with Regulation (EU) No 305/211, under the sole responsibility of the manufacturer identified above.</w:t>
      </w:r>
    </w:p>
    <w:p w:rsidR="000132F2" w:rsidRDefault="000132F2" w:rsidP="002322D0">
      <w:pPr>
        <w:pStyle w:val="CM4"/>
        <w:rPr>
          <w:rFonts w:ascii="Arial Narrow" w:hAnsi="Arial Narrow" w:cs="EUAlbertina"/>
          <w:color w:val="19161B"/>
          <w:sz w:val="18"/>
          <w:szCs w:val="18"/>
          <w:lang w:val="en-US"/>
        </w:rPr>
      </w:pPr>
    </w:p>
    <w:p w:rsidR="000132F2" w:rsidRDefault="000132F2" w:rsidP="003C3918">
      <w:pPr>
        <w:pStyle w:val="CM4"/>
        <w:ind w:firstLine="142"/>
        <w:rPr>
          <w:rFonts w:ascii="Arial Narrow" w:hAnsi="Arial Narrow" w:cs="EUAlbertina"/>
          <w:color w:val="19161B"/>
          <w:sz w:val="18"/>
          <w:szCs w:val="18"/>
          <w:lang w:val="en-US"/>
        </w:rPr>
      </w:pPr>
      <w:r w:rsidRPr="00FE3958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6905BC" w:rsidRDefault="00793DC2" w:rsidP="00AF1A7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en-US"/>
        </w:rPr>
      </w:pPr>
      <w:r w:rsidRPr="00793DC2">
        <w:rPr>
          <w:rFonts w:ascii="Arial Narrow" w:hAnsi="Arial Narrow" w:cs="EUAlbertina"/>
          <w:noProof/>
          <w:color w:val="19161B"/>
          <w:sz w:val="18"/>
          <w:szCs w:val="18"/>
          <w:lang w:val="en-GB" w:eastAsia="en-GB"/>
        </w:rPr>
        <w:drawing>
          <wp:inline distT="0" distB="0" distL="0" distR="0">
            <wp:extent cx="2126259" cy="96202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637" cy="966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2F2" w:rsidRDefault="000132F2" w:rsidP="00AF1A7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524F27">
        <w:rPr>
          <w:rFonts w:ascii="Arial Narrow" w:hAnsi="Arial Narrow" w:cs="EUAlbertina"/>
          <w:color w:val="19161B"/>
          <w:sz w:val="18"/>
          <w:szCs w:val="18"/>
          <w:lang w:val="en-US"/>
        </w:rPr>
        <w:lastRenderedPageBreak/>
        <w:br/>
      </w:r>
      <w:r w:rsidR="00793DC2">
        <w:rPr>
          <w:rFonts w:ascii="Arial Narrow" w:hAnsi="Arial Narrow" w:cs="EUAlbertina"/>
          <w:color w:val="19161B"/>
          <w:sz w:val="18"/>
          <w:szCs w:val="18"/>
          <w:lang w:val="en-GB"/>
        </w:rPr>
        <w:t>Andrew Mackenzie</w:t>
      </w:r>
      <w:bookmarkStart w:id="0" w:name="_GoBack"/>
      <w:bookmarkEnd w:id="0"/>
      <w:r w:rsidRPr="002322D0">
        <w:rPr>
          <w:rFonts w:ascii="Arial Narrow" w:hAnsi="Arial Narrow" w:cs="EUAlbertina"/>
          <w:color w:val="19161B"/>
          <w:sz w:val="18"/>
          <w:szCs w:val="18"/>
          <w:lang w:val="en-GB"/>
        </w:rPr>
        <w:br/>
        <w:t>Managing Director</w:t>
      </w:r>
    </w:p>
    <w:p w:rsidR="00793DC2" w:rsidRPr="00793DC2" w:rsidRDefault="00793DC2" w:rsidP="00793DC2">
      <w:pPr>
        <w:rPr>
          <w:lang w:val="en-GB"/>
        </w:rPr>
      </w:pPr>
    </w:p>
    <w:p w:rsidR="000132F2" w:rsidRDefault="00793DC2" w:rsidP="00AF1A7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  <w:sectPr w:rsidR="000132F2" w:rsidSect="000132F2">
          <w:headerReference w:type="default" r:id="rId9"/>
          <w:footerReference w:type="even" r:id="rId10"/>
          <w:footerReference w:type="default" r:id="rId11"/>
          <w:footnotePr>
            <w:pos w:val="beneathText"/>
          </w:footnotePr>
          <w:pgSz w:w="11906" w:h="16838" w:code="9"/>
          <w:pgMar w:top="1241" w:right="1077" w:bottom="851" w:left="1077" w:header="709" w:footer="709" w:gutter="0"/>
          <w:pgNumType w:start="1"/>
          <w:cols w:space="708"/>
          <w:docGrid w:linePitch="360"/>
        </w:sectPr>
      </w:pPr>
      <w:r>
        <w:rPr>
          <w:rFonts w:ascii="Arial Narrow" w:hAnsi="Arial Narrow" w:cs="EUAlbertina"/>
          <w:color w:val="19161B"/>
          <w:sz w:val="18"/>
          <w:szCs w:val="18"/>
          <w:lang w:val="en-GB"/>
        </w:rPr>
        <w:t>Ipswich</w:t>
      </w:r>
      <w:r w:rsidR="000132F2" w:rsidRPr="002322D0">
        <w:rPr>
          <w:rFonts w:ascii="Arial Narrow" w:hAnsi="Arial Narrow" w:cs="EUAlbertina"/>
          <w:color w:val="19161B"/>
          <w:sz w:val="18"/>
          <w:szCs w:val="18"/>
          <w:lang w:val="en-GB"/>
        </w:rPr>
        <w:t xml:space="preserve">, </w:t>
      </w:r>
      <w:r>
        <w:rPr>
          <w:rFonts w:ascii="Arial Narrow" w:hAnsi="Arial Narrow" w:cs="EUAlbertina"/>
          <w:noProof/>
          <w:color w:val="19161B"/>
          <w:sz w:val="18"/>
          <w:szCs w:val="18"/>
          <w:lang w:val="en-GB"/>
        </w:rPr>
        <w:t>06.01.2016</w:t>
      </w:r>
      <w:r w:rsidR="000132F2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</w:p>
    <w:p w:rsidR="000132F2" w:rsidRPr="00877914" w:rsidRDefault="000132F2" w:rsidP="00AF1A7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sectPr w:rsidR="000132F2" w:rsidRPr="00877914" w:rsidSect="000132F2">
      <w:headerReference w:type="default" r:id="rId12"/>
      <w:footerReference w:type="even" r:id="rId13"/>
      <w:footerReference w:type="default" r:id="rId14"/>
      <w:footnotePr>
        <w:pos w:val="beneathText"/>
      </w:footnotePr>
      <w:type w:val="continuous"/>
      <w:pgSz w:w="11906" w:h="16838" w:code="9"/>
      <w:pgMar w:top="124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83B" w:rsidRDefault="00BA583B">
      <w:r>
        <w:separator/>
      </w:r>
    </w:p>
  </w:endnote>
  <w:endnote w:type="continuationSeparator" w:id="0">
    <w:p w:rsidR="00BA583B" w:rsidRDefault="00BA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2F2" w:rsidRDefault="000132F2" w:rsidP="00B04A6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132F2" w:rsidRDefault="000132F2" w:rsidP="001F06EB">
    <w:pPr>
      <w:pStyle w:val="Footer"/>
      <w:framePr w:wrap="around" w:vAnchor="text" w:hAnchor="margin" w:xAlign="right" w:y="1"/>
      <w:ind w:right="360"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132F2" w:rsidRDefault="000132F2" w:rsidP="001F06EB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132F2" w:rsidRDefault="000132F2" w:rsidP="001F06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2F2" w:rsidRDefault="000132F2" w:rsidP="001F06EB">
    <w:pPr>
      <w:pStyle w:val="Footer"/>
      <w:framePr w:wrap="around" w:vAnchor="text" w:hAnchor="page" w:x="1798" w:y="59"/>
      <w:rPr>
        <w:rStyle w:val="PageNumber"/>
      </w:rPr>
    </w:pPr>
    <w:r>
      <w:rPr>
        <w:rStyle w:val="PageNumber"/>
      </w:rPr>
      <w:tab/>
    </w:r>
    <w:r>
      <w:rPr>
        <w:rStyle w:val="PageNumber"/>
      </w:rPr>
      <w:tab/>
    </w:r>
  </w:p>
  <w:p w:rsidR="000132F2" w:rsidRDefault="000132F2" w:rsidP="001F06EB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2D0" w:rsidRDefault="002322D0" w:rsidP="00B04A6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322D0" w:rsidRDefault="002322D0" w:rsidP="001F06EB">
    <w:pPr>
      <w:pStyle w:val="Footer"/>
      <w:framePr w:wrap="around" w:vAnchor="text" w:hAnchor="margin" w:xAlign="right" w:y="1"/>
      <w:ind w:right="360"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322D0" w:rsidRDefault="002322D0" w:rsidP="001F06EB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322D0" w:rsidRDefault="002322D0" w:rsidP="001F06EB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2D0" w:rsidRDefault="002322D0" w:rsidP="001F06EB">
    <w:pPr>
      <w:pStyle w:val="Footer"/>
      <w:framePr w:wrap="around" w:vAnchor="text" w:hAnchor="page" w:x="1798" w:y="59"/>
      <w:rPr>
        <w:rStyle w:val="PageNumber"/>
      </w:rPr>
    </w:pPr>
    <w:r>
      <w:rPr>
        <w:rStyle w:val="PageNumber"/>
      </w:rPr>
      <w:tab/>
    </w:r>
    <w:r>
      <w:rPr>
        <w:rStyle w:val="PageNumber"/>
      </w:rPr>
      <w:tab/>
    </w:r>
  </w:p>
  <w:p w:rsidR="002322D0" w:rsidRDefault="002322D0" w:rsidP="001F06EB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83B" w:rsidRDefault="00BA583B">
      <w:r>
        <w:separator/>
      </w:r>
    </w:p>
  </w:footnote>
  <w:footnote w:type="continuationSeparator" w:id="0">
    <w:p w:rsidR="00BA583B" w:rsidRDefault="00BA5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2F2" w:rsidRDefault="00F57AFA">
    <w:pPr>
      <w:pStyle w:val="Header"/>
    </w:pPr>
    <w:r>
      <w:t xml:space="preserve">                                                                                                                     </w:t>
    </w:r>
    <w:r>
      <w:rPr>
        <w:noProof/>
        <w:lang w:val="en-GB" w:eastAsia="en-GB"/>
      </w:rPr>
      <w:drawing>
        <wp:inline distT="0" distB="0" distL="0" distR="0" wp14:anchorId="6E54EB42" wp14:editId="4AD23FCF">
          <wp:extent cx="1728216" cy="573024"/>
          <wp:effectExtent l="0" t="0" r="571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Logo_RGB_48mm_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216" cy="573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2D0" w:rsidRDefault="002322D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14C6AB15" wp14:editId="2E7D9249">
          <wp:simplePos x="0" y="0"/>
          <wp:positionH relativeFrom="column">
            <wp:posOffset>4659441</wp:posOffset>
          </wp:positionH>
          <wp:positionV relativeFrom="paragraph">
            <wp:posOffset>122830</wp:posOffset>
          </wp:positionV>
          <wp:extent cx="1728000" cy="424800"/>
          <wp:effectExtent l="0" t="0" r="571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 Logo RGB, ohne cla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42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6B"/>
    <w:rsid w:val="000132F2"/>
    <w:rsid w:val="00037F01"/>
    <w:rsid w:val="00044E07"/>
    <w:rsid w:val="00065EAF"/>
    <w:rsid w:val="00080B5A"/>
    <w:rsid w:val="0008434F"/>
    <w:rsid w:val="00133139"/>
    <w:rsid w:val="001331E9"/>
    <w:rsid w:val="00144608"/>
    <w:rsid w:val="001A1EC5"/>
    <w:rsid w:val="001F06EB"/>
    <w:rsid w:val="00206B44"/>
    <w:rsid w:val="002322D0"/>
    <w:rsid w:val="0026428D"/>
    <w:rsid w:val="002714EA"/>
    <w:rsid w:val="002E2F46"/>
    <w:rsid w:val="002E6B80"/>
    <w:rsid w:val="00321E91"/>
    <w:rsid w:val="00356777"/>
    <w:rsid w:val="00384392"/>
    <w:rsid w:val="003C3918"/>
    <w:rsid w:val="003C4D04"/>
    <w:rsid w:val="003C65A3"/>
    <w:rsid w:val="00407C29"/>
    <w:rsid w:val="00441982"/>
    <w:rsid w:val="00461B90"/>
    <w:rsid w:val="00464A38"/>
    <w:rsid w:val="00470548"/>
    <w:rsid w:val="0047340D"/>
    <w:rsid w:val="004B264E"/>
    <w:rsid w:val="00506429"/>
    <w:rsid w:val="00517883"/>
    <w:rsid w:val="00524F27"/>
    <w:rsid w:val="00551227"/>
    <w:rsid w:val="00594726"/>
    <w:rsid w:val="005C67E7"/>
    <w:rsid w:val="005F5F8A"/>
    <w:rsid w:val="006343FF"/>
    <w:rsid w:val="0064121F"/>
    <w:rsid w:val="00656BC1"/>
    <w:rsid w:val="006905BC"/>
    <w:rsid w:val="006A01D4"/>
    <w:rsid w:val="006D02E0"/>
    <w:rsid w:val="00743116"/>
    <w:rsid w:val="00745829"/>
    <w:rsid w:val="00793DC2"/>
    <w:rsid w:val="007A2B50"/>
    <w:rsid w:val="00844B67"/>
    <w:rsid w:val="008753DE"/>
    <w:rsid w:val="00877914"/>
    <w:rsid w:val="0089428B"/>
    <w:rsid w:val="008A5758"/>
    <w:rsid w:val="00995FE6"/>
    <w:rsid w:val="009A057D"/>
    <w:rsid w:val="009F355A"/>
    <w:rsid w:val="00A13499"/>
    <w:rsid w:val="00A360AF"/>
    <w:rsid w:val="00A47EC6"/>
    <w:rsid w:val="00A86B1A"/>
    <w:rsid w:val="00A95A23"/>
    <w:rsid w:val="00AA5AB4"/>
    <w:rsid w:val="00AD0A5D"/>
    <w:rsid w:val="00AF1A79"/>
    <w:rsid w:val="00B04A69"/>
    <w:rsid w:val="00B40236"/>
    <w:rsid w:val="00B57030"/>
    <w:rsid w:val="00B65727"/>
    <w:rsid w:val="00BA583B"/>
    <w:rsid w:val="00BA7AE0"/>
    <w:rsid w:val="00BB4484"/>
    <w:rsid w:val="00BE0D64"/>
    <w:rsid w:val="00C02F6B"/>
    <w:rsid w:val="00C472BF"/>
    <w:rsid w:val="00CC12AC"/>
    <w:rsid w:val="00CD7BD9"/>
    <w:rsid w:val="00D21C0E"/>
    <w:rsid w:val="00D26177"/>
    <w:rsid w:val="00DB7F57"/>
    <w:rsid w:val="00DE2707"/>
    <w:rsid w:val="00DE7571"/>
    <w:rsid w:val="00DF7AE1"/>
    <w:rsid w:val="00E525FD"/>
    <w:rsid w:val="00E74D6D"/>
    <w:rsid w:val="00E74ED2"/>
    <w:rsid w:val="00E81FE4"/>
    <w:rsid w:val="00E87D16"/>
    <w:rsid w:val="00ED6CC8"/>
    <w:rsid w:val="00F04642"/>
    <w:rsid w:val="00F34EC1"/>
    <w:rsid w:val="00F57AFA"/>
    <w:rsid w:val="00F820F8"/>
    <w:rsid w:val="00F90EDF"/>
    <w:rsid w:val="00F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CD7DA702-F67B-4BD3-8F25-E44C6896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2F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blage\2015\Bauproduktenverordnung%20ab%20Juli%202013\Vorlagen\Leistungserkl&#228;rungen%20Vorlagen%20ab%20Okt.%2014\05%20allgemeine%20Vorlage%20DoP%20ab%20Oktober%202014,%20englis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CE57-90D3-4132-80FF-EB58E31D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allgemeine Vorlage DoP ab Oktober 2014, englisch</Template>
  <TotalTime>0</TotalTime>
  <Pages>1</Pages>
  <Words>328</Words>
  <Characters>1874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CPR 2011-04-04</vt:lpstr>
      <vt:lpstr>CPR 2011-04-04</vt:lpstr>
    </vt:vector>
  </TitlesOfParts>
  <Company>Rockwool International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creator>Wagner Peter</dc:creator>
  <cp:lastModifiedBy>Richard Clennell</cp:lastModifiedBy>
  <cp:revision>2</cp:revision>
  <cp:lastPrinted>2015-12-10T13:53:00Z</cp:lastPrinted>
  <dcterms:created xsi:type="dcterms:W3CDTF">2016-01-06T12:55:00Z</dcterms:created>
  <dcterms:modified xsi:type="dcterms:W3CDTF">2016-01-06T12:55:00Z</dcterms:modified>
</cp:coreProperties>
</file>